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317</w:t>
      </w:r>
    </w:p>
    <w:p>
      <w:r>
        <w:t>Bundesgericht (BGE), 1998-08-05, DE</w:t>
      </w:r>
    </w:p>
    <w:p>
      <w:r>
        <w:rPr>
          <w:b/>
        </w:rPr>
        <w:t xml:space="preserve">Quelle: </w:t>
      </w:r>
      <w:r>
        <w:t>https://mcp.opencaselaw.ch/entscheid/bge_124 V 317</w:t>
      </w:r>
    </w:p>
    <w:p>
      <w:r>
        <w:t>FR: ATF 124 V 317</w:t>
      </w:r>
    </w:p>
    <w:p>
      <w:r>
        <w:t>IT: DTF 124 V 317</w:t>
      </w:r>
    </w:p>
    <w:p>
      <w:pPr>
        <w:pStyle w:val="Heading2"/>
      </w:pPr>
      <w:r>
        <w:t>Regeste</w:t>
      </w:r>
    </w:p>
    <w:p>
      <w:r>
        <w:t>Regeste Art. 19 und 26bis IVG; Art. 8 IVV (in der bis 31. Dezember 1996 gültig gewesenen Fassung) und Art. 24 IVV; Art. 10 und 12 Abs. 2 SZV. Eine Leistungspflicht der Invalidenversicherung fällt auch dann in Betracht, wenn Vater oder Mutter die Sonderschulmassnahme an ihrem Kind erbringen und die materiellen und formellen Voraussetzungen (Zulassungsvoraussetzungen) erfüllt sind (Änderung der Rechtsprechung von EVGE 1962 S. 223).</w:t>
      </w:r>
    </w:p>
    <w:p>
      <w:pPr>
        <w:pStyle w:val="Heading2"/>
      </w:pPr>
      <w:r>
        <w:t>Erwägungen</w:t>
      </w:r>
    </w:p>
    <w:p>
      <w:r>
        <w:rPr>
          <w:b/>
        </w:rPr>
        <w:t>E. 1</w:t>
      </w:r>
    </w:p>
    <w:p>
      <w:r>
        <w:t>Wie die Beschwerdeführerin in der vorinstanzlichen Vernehmlassung ausdrücklich anerkannt hat, ist mit dem kantonalen Gericht davon auszugehen, dass der Beschwerdegegner aufgrund seiner Sehbehinderung und der damit verbundenen weiteren Störungen nicht in der Lage ist, dem öffentlichen Volksschulunterricht auf Primarschulstufe zu folgen. Die Sonderschulunterrichtsbedürftigkeit ( BGE 109 V 12 Erw. 1a) als leistungsspezifische Invalidität und damit materielle Beitragsanspruchsvoraussetzung im Sinne von Art. 19 Abs. 1 und Abs. 2 lit. a IVG in Verbindung mit Art. 8 Abs. 1 lit. a IVV und Art. 9 Abs. 1 lit. g und Abs. 2 IVV (in den bis 31. Dezember 1996 gültig gewesenen Fassungen) ist damit erstellt.</w:t>
      </w:r>
    </w:p>
    <w:p>
      <w:r>
        <w:rPr>
          <w:b/>
        </w:rPr>
        <w:t>E. 2</w:t>
      </w:r>
    </w:p>
    <w:p>
      <w:r>
        <w:t>a) Streitig und zu prüfen ist in erster Linie, ob der Anspruch auf Beiträge an den Sonderschulunterricht deswegen dahinfällt, weil der Beschwerdegegner durch seinen Vater zu Hause unterrichtet wird. Diese Frage ist vom BSV in seiner Antwort vom 24. Januar 1996 an die Beschwerdeführerin unter Berufung auf EVGE 1962 S. 223 bejaht worden. Die IV-Stelle beruft sich in der Verwaltungsgerichtsbeschwerde erneut sinngemäss auf diese Rechtsprechung, wenn sie geltend macht, die Invalidenversicherung decke grundsätzlich nur die invaliditätsbedingten Mehrkosten einer Sonderschulung, welche aber nicht anfallen würden, wenn die Sonderschulung durch den Vater des Versicherten erfolge. An der EVGE 1962 S. 223 zugrunde liegenden Betrachtungsweise kann mit der Vorinstanz nicht festgehalten werden. In den über drei Jahrzehnten, welche seit Erlass dieses Urteiles ergangen sind, haben sich die Konzeption des sozialen Schutzes einerseits, das Familienrecht anderseits wesentlich geändert mit der Folge, dass der dem behinderten Kind zustehende invalidenversicherungsrechtliche Beitragsanspruch nicht mehr mit dem Hinweis auf die Erziehungspflicht der Eltern verneint werden kann (vgl. auch Art. 3 Abs. 1 des Übereinkommens über die Rechte des Kindes vom 20. November 1989, von der Schweiz ratifiziert am 24. Februar 1997 und für die Schweiz in Kraft getreten am 26. März 1997 [vgl. die Erwähnung des Bundesbeschlusses vom 13. Dezember 1996 über die Genehmigung des Abkommens BGE 124 V 317 S. 320 in BBl 1996 V 1014; Botschaft des Bundesrates vom 29. Juni 1994, BBl 1994 V 1]). Ein Ausschluss der Beitragsberechtigung nach Massgabe der materiellen Bestimmungen ergibt sich weder aus Art. 19 IVG noch den Art. 8 ff. IVV noch aus der gestützt auf Art. 26bis Abs. 2 IVG und Art. 24 IVV erlassenen Sonderschulzulassungsverordnung (SZV). In Änderung von EVGE 1962 S. 223 ist somit festzuhalten, dass eine Leistungspflicht der IV selbst dann in Betracht fällt, wenn Vater oder Mutter die Sonderschulmassnahme an ihrem Kind erbringen und die materiellen und formellen Voraussetzungen (Zulassungserfordernis) erfüllt sind. Wegleitend für den Entscheid, ob in einer solchen Situation die Invalidenversicherung Beiträge zu leisten habe, wird in jedem Einzelfall das Interesse des Kindes sein, das, je nach den Verhältnissen, auch eine Ablehnung des Hausunterrichts durch einen Elternteil, d.h. die Ablehnung der IV-Beiträge daran, zu begründen vermag. In allen solchen Fällen ist auch eine Kontrolle über den Verlauf des Hausunterrichts durchzuführen und es ist, je nach dessen Verlauf, auf die gesprochene Beitragsberechtigung revisionsweise zurückzukommen ( Art. 41 IVG analog; BGE 113 V 27 Erw. 3b). b) Im vorliegenden Fall steht, nach Lage der Akten und Vorbringen der Verfahrensbeteiligten, nichts entgegen, unter dem Gesichtspunkt des Kindeswohls der vom Vater des Beschwerdegegners durchgeführten Sonderschulmassnahme (häuslicher Sonderschulunterricht) die Beitragsberechtigung zuzuerkennen. Sämtliche Verfahrensbeteiligten sind sich darüber einig, dass der Vater des Beschwerdegegners im Hinblick auf seine Ausbildung (Lehrerpatent; heilpädagogischer Abschluss) die Voraussetzungen für einen zu Hause durchgeführten Sonderschulunterricht erfüllt, weshalb es sich unter dem Gesichtswinkel der Art. 19 IVG und Art. 8 ff. IVV rechtfertigt, die Invalidenversicherung daran Beiträge entrichten zu lassen.</w:t>
      </w:r>
    </w:p>
    <w:p>
      <w:r>
        <w:rPr>
          <w:b/>
        </w:rPr>
        <w:t>E. 3</w:t>
      </w:r>
    </w:p>
    <w:p>
      <w:r>
        <w:t>Sind somit sämtliche materiellen Leistungsvoraussetzungen für die nachgesuchten Sonderschulunterrichtsbeiträge erfüllt - die vom Vater des Beschwerdegegners im Laufe des zweiten Schriftenwechsels erwähnten Hilfsmittel stehen hier nicht zur Beurteilung an -, stellt sich als Zweites die Frage, ob auch die formelle Voraussetzung ( BGE 109 V 14 Erw. 2a) der Zulassung ( Art. 26bis Abs. 2 IVG in Verbindung mit Art. 24 IVV und Art. 10 Abs. 2 SZV in Verbindung mit Art. 12 SZV ) erfüllt ist. Dies ist aufgrund der Auskünfte der Erziehungsdirektion vom 27. Mai 1998 zu verneinen, aus BGE 124 V 317 S. 321 denen sich ergeben hat, dass der Vater des Beschwerdegegners die Behinderung seines Sohnes anlässlich des Gesuches vom 26. August 1992 gar nicht erwähnt hat. Erst im Verlaufe der Aufsicht hat die Zulassungsbehörde aufgrund von Beobachtungen der Schulinspektorin erfahren, dass der Beschwerdegegner ein Sonderschulunterricht rechtfertigendes Gebrechen aufweist. Es ist Sache des Vaters des Beschwerdegegners, nachträglich um seine Zulassung als Sonderschullehrer im Falle seines Sohnes nachzusuchen. Das kantonale Gericht hat zutreffend erkannt, dass weder die IV-Stelle noch der Sozialversicherungsrichter zuständig sind, über diese Zulassung zu befinden oder ein Zulassungsverfahren einzuleiten, und dass es Sache der zuständigen kantonalen Amtsstelle ist abzuklären, ob die Zulassungsvoraussetzungen gemäss Art. 2 ff. SZV für eine beitragspflichtige Sonderschulung im vorliegenden Einzelfall gegeben sind. In diesem Sinne lässt sich der vorinstanzliche Entscheid auch in formeller Hinsicht nicht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